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7/25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本文を書き進めている上で変更のあった章立てを構成し直した。第4章「クリーン可逆シミュレーション」と第3章「可逆セル・オートマトン」の記述を依然として進めている。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texにて現在完成している部分について入力を始めた。(まずは章立てなどの部分から)</w:t>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7/18</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準備の章である3章「可逆セル・オートマトン」について記述．式や図については後日追加する．第4章「クリーン可逆シミュレーション」について書き進めている(未完)</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章立てがまだ古いままなので書き直すことと，実装，はじめにとおわりにの部分を進める必要がある．</w:t>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7/11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本稿を進めている……が難航</w:t>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7/4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二人で打ち合わせを繰り返して、全体を俯瞰した構成を考えた。そして章立てをするため、それを文章化した。(章立てver2.0)</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そしてそのメモをもとに具体的な(章立てver3)を作成した。</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今後は具体的な内容，特に実装やクリーンの部分に取り掛かる必要があるだろう</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6/27memo</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式には式番号をつける</w:t>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6/26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スタックの単射・全単射について考えを深め、pushとpopが全単射であることの証明を、矢澤くんと考えた。また、関連文献リストを作るにあたり、参考文献の表記法についての再確認をし、先輩の卒論に目を通した</w:t>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t xml:space="preserve">6/19</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矢澤君と研究を進めるにあたって、とりあえずの目標を一次元可逆セルオートマトンのシミュレーションの実現とし、それに向けた卒論の章立てを考え始めた。</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しかし、まだ内容の理解に至っていないため、「問題」以降の章立ての具体化に詰まっている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内容の理解を深めるand矢澤くんとの連携を深くすることによって、章立ての具体化を進めていきたい</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可逆セルオートマトンの研究をはじめる前に、矢澤君と理解に差があるため、基本的な定義について理解を深めている</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セルオートマトンとは   </w:t>
        <w:tab/>
        <w:t xml:space="preserve">・計算モデルの一種</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                                      </w:t>
        <w:tab/>
        <w:t xml:space="preserve">・有限オートマトンを規則的に並べたシステム</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                                      </w:t>
        <w:tab/>
        <w:t xml:space="preserve">・各セルが近傍のセルと相互作用することで状態を遷移する</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2次元セルオートマトンの代表例・・・フレドキンの自己複製CA,ゲームオブライフ(GoL)</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フレドキンの自己複製CA</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・碁盤目状に敷き詰められたオートマトンが、上下左右のセルの影響のみをうけて0と1の間で状態を遷移する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・オートマトン単体の遷移規則の集合の事を局所関数と呼ぶ</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・CA全体の状態の遷移(状相)に対する遷移規則のことを大域関数とよぶ</w:t>
      </w:r>
    </w:p>
    <w:p w:rsidR="00000000" w:rsidDel="00000000" w:rsidP="00000000" w:rsidRDefault="00000000" w:rsidRPr="00000000">
      <w:pPr>
        <w:contextualSpacing w:val="0"/>
        <w:rPr/>
      </w:pPr>
      <w:r w:rsidDel="00000000" w:rsidR="00000000" w:rsidRPr="00000000">
        <w:rPr>
          <w:rtl w:val="0"/>
        </w:rPr>
        <w:t xml:space="preserve">GoL</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・フレドキンの自己複製CAと基本構造は同じ。しかし、遷移するときに影響を受けるセルの対象が上下左右(四方位)から八方位に変わった</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・局所関数となる遷移規則の数が最大2^4(=16)通りから最大2^8(=256)通りになった</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・多彩な計算が表現できる？</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セルオートマトンに可逆性を与えるには</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・すべての遷移が全単射であれば可逆性があるといえる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・局所関数は一部の自明なときを除いて単射にはなりえない→理由については理解が至っていない。今後も深める必要がある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・結論を先にまとめると、可逆性は大域関数にたいして制約条件として定義しなければならない。</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論文作法</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ja"/>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